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7662A3">
      <w:pPr>
        <w:rPr>
          <w:rFonts w:hint="default" w:eastAsia="Aptos Display" w:cs="Aptos Display" w:asciiTheme="minorAscii" w:hAnsiTheme="minorAsci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default" w:eastAsia="Aptos Display" w:cs="Aptos Display" w:asciiTheme="minorAscii" w:hAnsiTheme="minorAsci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Vypracovanie stanoviska ku klasifikácii senzorov dostupných na Slovensku z pohľadu</w:t>
      </w:r>
      <w:r>
        <w:rPr>
          <w:rFonts w:hint="default" w:eastAsia="Aptos Display" w:cs="Aptos Display" w:asciiTheme="minorAscii" w:hAnsiTheme="minorAscii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sk-SK"/>
        </w:rPr>
        <w:t xml:space="preserve"> </w:t>
      </w:r>
      <w:r>
        <w:rPr>
          <w:rFonts w:hint="default" w:eastAsia="Aptos Display" w:cs="Aptos Display" w:asciiTheme="minorAscii" w:hAnsiTheme="minorAsci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terapeutického zaradenia</w:t>
      </w:r>
    </w:p>
    <w:p w14:paraId="72AD7EDC">
      <w:pPr>
        <w:rPr>
          <w:rFonts w:hint="default" w:eastAsia="Aptos Display" w:cs="Aptos Display" w:asciiTheme="minorAscii" w:hAnsiTheme="minorAsci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</w:p>
    <w:p w14:paraId="08373861">
      <w:pPr>
        <w:keepNext w:val="0"/>
        <w:keepLines w:val="0"/>
        <w:widowControl/>
        <w:suppressLineNumbers w:val="0"/>
        <w:pBdr>
          <w:bottom w:val="none" w:color="0A0A0A" w:sz="0" w:space="0"/>
        </w:pBdr>
        <w:spacing w:before="180" w:beforeAutospacing="0" w:after="240" w:afterAutospacing="0"/>
        <w:ind w:left="0" w:right="0"/>
        <w:jc w:val="left"/>
        <w:rPr>
          <w:rFonts w:ascii="Arial" w:hAnsi="Arial" w:eastAsia="Arial" w:cs="Arial"/>
          <w:sz w:val="24"/>
          <w:szCs w:val="24"/>
          <w:u w:val="none"/>
        </w:rPr>
      </w:pPr>
      <w:r>
        <w:rPr>
          <w:rFonts w:hint="default" w:ascii="Arial" w:hAnsi="Arial" w:eastAsia="Arial" w:cs="Arial"/>
          <w:kern w:val="0"/>
          <w:sz w:val="24"/>
          <w:szCs w:val="24"/>
          <w:u w:val="none"/>
          <w:lang w:val="sk-SK" w:eastAsia="zh-CN" w:bidi="ar"/>
          <w14:ligatures w14:val="standardContextual"/>
        </w:rPr>
        <w:t xml:space="preserve">Glukózové </w:t>
      </w:r>
      <w:r>
        <w:rPr>
          <w:rFonts w:hint="default" w:ascii="Arial" w:hAnsi="Arial" w:eastAsia="Arial" w:cs="Arial"/>
          <w:kern w:val="0"/>
          <w:sz w:val="24"/>
          <w:szCs w:val="24"/>
          <w:u w:val="none"/>
          <w:lang w:val="en-US" w:eastAsia="zh-CN" w:bidi="ar"/>
          <w14:ligatures w14:val="standardContextual"/>
        </w:rPr>
        <w:t>enzory sú v systéme</w:t>
      </w:r>
      <w:r>
        <w:rPr>
          <w:rFonts w:hint="default" w:ascii="Arial" w:hAnsi="Arial" w:eastAsia="Arial" w:cs="Arial"/>
          <w:kern w:val="0"/>
          <w:sz w:val="24"/>
          <w:szCs w:val="24"/>
          <w:u w:val="none"/>
          <w:lang w:val="sk-SK" w:eastAsia="zh-CN" w:bidi="ar"/>
          <w14:ligatures w14:val="standardContextual"/>
        </w:rPr>
        <w:t xml:space="preserve"> </w:t>
      </w:r>
      <w:r>
        <w:rPr>
          <w:rFonts w:hint="default" w:ascii="Arial" w:hAnsi="Arial" w:eastAsia="Arial" w:cs="Arial"/>
          <w:b w:val="0"/>
          <w:bCs w:val="0"/>
          <w:kern w:val="0"/>
          <w:sz w:val="24"/>
          <w:szCs w:val="24"/>
          <w:u w:val="none"/>
          <w:lang w:val="sk-SK" w:eastAsia="zh-CN" w:bidi="ar"/>
          <w14:ligatures w14:val="standardContextual"/>
        </w:rPr>
        <w:t>Zo</w:t>
      </w:r>
      <w:r>
        <w:rPr>
          <w:rFonts w:hint="default" w:ascii="Arial" w:hAnsi="Arial" w:eastAsia="Arial" w:cs="Arial"/>
          <w:kern w:val="0"/>
          <w:sz w:val="24"/>
          <w:szCs w:val="24"/>
          <w:u w:val="none"/>
          <w:lang w:val="sk-SK" w:eastAsia="zh-CN" w:bidi="ar"/>
          <w14:ligatures w14:val="standardContextual"/>
        </w:rPr>
        <w:t>znamu kategorizovaných zdravot. pomôcok členené nasledovne:</w:t>
      </w:r>
    </w:p>
    <w:p w14:paraId="4A5B3C4B">
      <w:pPr>
        <w:keepNext w:val="0"/>
        <w:keepLines w:val="0"/>
        <w:widowControl/>
        <w:numPr>
          <w:ilvl w:val="0"/>
          <w:numId w:val="1"/>
        </w:numPr>
        <w:suppressLineNumbers w:val="0"/>
        <w:pBdr>
          <w:bottom w:val="none" w:color="0A0A0A" w:sz="0" w:space="0"/>
        </w:pBdr>
        <w:spacing w:before="0" w:beforeAutospacing="0" w:after="180" w:afterAutospacing="0"/>
        <w:ind w:left="0" w:right="0" w:hanging="360"/>
        <w:rPr>
          <w:rFonts w:hint="default" w:ascii="Arial" w:hAnsi="Arial" w:eastAsia="Arial" w:cs="Arial"/>
          <w:sz w:val="24"/>
          <w:szCs w:val="24"/>
          <w:u w:val="none"/>
        </w:rPr>
      </w:pPr>
      <w:r>
        <w:rPr>
          <w:rStyle w:val="14"/>
          <w:rFonts w:hint="default" w:ascii="Arial" w:hAnsi="Arial" w:eastAsia="Arial" w:cs="Arial"/>
          <w:b w:val="0"/>
          <w:bCs w:val="0"/>
          <w:sz w:val="24"/>
          <w:szCs w:val="24"/>
          <w:u w:val="single"/>
        </w:rPr>
        <w:t>D12.1 – Senzory s dobou snímania 6–7 dní:</w:t>
      </w:r>
      <w:r>
        <w:rPr>
          <w:rFonts w:hint="default" w:ascii="Arial" w:hAnsi="Arial" w:eastAsia="Arial" w:cs="Arial"/>
          <w:sz w:val="24"/>
          <w:szCs w:val="24"/>
          <w:u w:val="none"/>
        </w:rPr>
        <w:t xml:space="preserve"> </w:t>
      </w:r>
      <w:r>
        <w:rPr>
          <w:rFonts w:hint="default" w:ascii="Arial" w:hAnsi="Arial" w:eastAsia="Arial" w:cs="Arial"/>
          <w:sz w:val="24"/>
          <w:szCs w:val="24"/>
          <w:u w:val="none"/>
          <w:lang w:val="sk-SK"/>
        </w:rPr>
        <w:t>Medtronic Guardian Sensor 3 a 4 (7 dní), Medtronic Enlite (6 dní)</w:t>
      </w:r>
    </w:p>
    <w:p w14:paraId="3D8FE436">
      <w:pPr>
        <w:keepNext w:val="0"/>
        <w:keepLines w:val="0"/>
        <w:widowControl/>
        <w:numPr>
          <w:ilvl w:val="0"/>
          <w:numId w:val="1"/>
        </w:numPr>
        <w:suppressLineNumbers w:val="0"/>
        <w:pBdr>
          <w:bottom w:val="none" w:color="0A0A0A" w:sz="0" w:space="0"/>
        </w:pBdr>
        <w:spacing w:before="0" w:beforeAutospacing="0" w:after="180" w:afterAutospacing="0"/>
        <w:ind w:left="0" w:right="0" w:hanging="360"/>
        <w:rPr>
          <w:rFonts w:hint="default" w:ascii="Arial" w:hAnsi="Arial" w:eastAsia="Arial" w:cs="Arial"/>
          <w:sz w:val="24"/>
          <w:szCs w:val="24"/>
          <w:u w:val="none"/>
        </w:rPr>
      </w:pPr>
      <w:r>
        <w:rPr>
          <w:rStyle w:val="14"/>
          <w:rFonts w:hint="default" w:ascii="Arial" w:hAnsi="Arial" w:eastAsia="Arial" w:cs="Arial"/>
          <w:b w:val="0"/>
          <w:bCs w:val="0"/>
          <w:sz w:val="24"/>
          <w:szCs w:val="24"/>
          <w:u w:val="single"/>
        </w:rPr>
        <w:t>D12.2 – Senzory s dobou snímania 10 dní</w:t>
      </w:r>
      <w:r>
        <w:rPr>
          <w:rStyle w:val="14"/>
          <w:rFonts w:hint="default" w:ascii="Arial" w:hAnsi="Arial" w:eastAsia="Arial" w:cs="Arial"/>
          <w:b/>
          <w:bCs/>
          <w:sz w:val="24"/>
          <w:szCs w:val="24"/>
          <w:u w:val="none"/>
        </w:rPr>
        <w:t>:</w:t>
      </w:r>
      <w:r>
        <w:rPr>
          <w:rFonts w:hint="default" w:ascii="Arial" w:hAnsi="Arial" w:eastAsia="Arial" w:cs="Arial"/>
          <w:sz w:val="24"/>
          <w:szCs w:val="24"/>
          <w:u w:val="none"/>
        </w:rPr>
        <w:t xml:space="preserve"> </w:t>
      </w:r>
      <w:r>
        <w:rPr>
          <w:rFonts w:hint="default" w:ascii="Arial" w:hAnsi="Arial" w:eastAsia="Arial" w:cs="Arial"/>
          <w:sz w:val="24"/>
          <w:szCs w:val="24"/>
          <w:u w:val="none"/>
          <w:lang w:val="sk-SK"/>
        </w:rPr>
        <w:t>Dexcom G 6 a 7 (10 dní)</w:t>
      </w:r>
    </w:p>
    <w:p w14:paraId="3AB7B4BE">
      <w:pPr>
        <w:keepNext w:val="0"/>
        <w:keepLines w:val="0"/>
        <w:widowControl/>
        <w:numPr>
          <w:ilvl w:val="0"/>
          <w:numId w:val="1"/>
        </w:numPr>
        <w:suppressLineNumbers w:val="0"/>
        <w:pBdr>
          <w:bottom w:val="none" w:color="0A0A0A" w:sz="0" w:space="0"/>
        </w:pBdr>
        <w:spacing w:before="0" w:beforeAutospacing="0" w:after="180" w:afterAutospacing="0"/>
        <w:ind w:left="0" w:right="0" w:hanging="360"/>
        <w:rPr>
          <w:rFonts w:hint="default" w:eastAsia="Aptos Display" w:cs="Aptos Display" w:asciiTheme="minorAscii" w:hAnsiTheme="minorAsci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Style w:val="14"/>
          <w:rFonts w:hint="default" w:ascii="Arial" w:hAnsi="Arial" w:eastAsia="Arial" w:cs="Arial"/>
          <w:b w:val="0"/>
          <w:bCs w:val="0"/>
          <w:sz w:val="24"/>
          <w:szCs w:val="24"/>
          <w:u w:val="single"/>
        </w:rPr>
        <w:t>D12.3 – Senzory s dobou snímania 14 dní:</w:t>
      </w:r>
      <w:r>
        <w:rPr>
          <w:rFonts w:hint="default" w:ascii="Arial" w:hAnsi="Arial" w:eastAsia="Arial" w:cs="Arial"/>
          <w:sz w:val="24"/>
          <w:szCs w:val="24"/>
          <w:u w:val="none"/>
        </w:rPr>
        <w:t xml:space="preserve"> </w:t>
      </w:r>
      <w:r>
        <w:rPr>
          <w:rFonts w:hint="default" w:ascii="Arial" w:hAnsi="Arial" w:eastAsia="Arial" w:cs="Arial"/>
          <w:sz w:val="24"/>
          <w:szCs w:val="24"/>
          <w:u w:val="none"/>
          <w:lang w:val="sk-SK"/>
        </w:rPr>
        <w:t>s</w:t>
      </w:r>
      <w:r>
        <w:rPr>
          <w:rFonts w:hint="default" w:ascii="Arial" w:hAnsi="Arial" w:eastAsia="Arial" w:cs="Arial"/>
          <w:sz w:val="24"/>
          <w:szCs w:val="24"/>
          <w:u w:val="none"/>
        </w:rPr>
        <w:t>em patr</w:t>
      </w:r>
      <w:r>
        <w:rPr>
          <w:rFonts w:hint="default" w:ascii="Arial" w:hAnsi="Arial" w:eastAsia="Arial" w:cs="Arial"/>
          <w:sz w:val="24"/>
          <w:szCs w:val="24"/>
          <w:u w:val="none"/>
          <w:lang w:val="sk-SK"/>
        </w:rPr>
        <w:t xml:space="preserve">í </w:t>
      </w:r>
      <w:r>
        <w:rPr>
          <w:rFonts w:hint="default" w:ascii="Arial" w:hAnsi="Arial" w:eastAsia="Arial" w:cs="Arial"/>
          <w:sz w:val="24"/>
          <w:szCs w:val="24"/>
          <w:u w:val="none"/>
        </w:rPr>
        <w:t xml:space="preserve">FreeStyle Libre </w:t>
      </w:r>
      <w:r>
        <w:rPr>
          <w:rFonts w:hint="default" w:ascii="Arial" w:hAnsi="Arial" w:eastAsia="Arial" w:cs="Arial"/>
          <w:sz w:val="24"/>
          <w:szCs w:val="24"/>
          <w:u w:val="none"/>
          <w:lang w:val="sk-SK"/>
        </w:rPr>
        <w:t>2 a 2 Plus (14-15 dní), GlucoMen Day (14 dní), Syai (14 dní)</w:t>
      </w:r>
    </w:p>
    <w:p w14:paraId="253BC8F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bottom w:val="none" w:color="0A0A0A" w:sz="0" w:space="0"/>
        </w:pBdr>
        <w:spacing w:before="0" w:beforeAutospacing="0" w:after="180" w:afterAutospacing="0"/>
        <w:ind w:left="-360" w:leftChars="0" w:right="0" w:rightChars="0"/>
        <w:rPr>
          <w:rFonts w:hint="default" w:ascii="Arial" w:hAnsi="Arial" w:eastAsia="Arial" w:cs="Arial"/>
          <w:sz w:val="24"/>
          <w:szCs w:val="24"/>
          <w:u w:val="none"/>
          <w:lang w:val="sk-SK"/>
        </w:rPr>
      </w:pPr>
    </w:p>
    <w:p w14:paraId="3B8B98F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bottom w:val="none" w:color="0A0A0A" w:sz="0" w:space="0"/>
        </w:pBdr>
        <w:spacing w:before="0" w:beforeAutospacing="0" w:after="180" w:afterAutospacing="0"/>
        <w:ind w:left="-360" w:leftChars="0" w:right="0" w:rightChars="0"/>
        <w:rPr>
          <w:rFonts w:hint="default" w:ascii="Arial" w:hAnsi="Arial" w:eastAsia="Arial" w:cs="Arial"/>
          <w:sz w:val="24"/>
          <w:szCs w:val="24"/>
          <w:u w:val="none"/>
          <w:lang w:val="sk-SK"/>
        </w:rPr>
      </w:pPr>
      <w:r>
        <w:rPr>
          <w:rFonts w:hint="default" w:ascii="Arial" w:hAnsi="Arial" w:eastAsia="Arial" w:cs="Arial"/>
          <w:sz w:val="24"/>
          <w:szCs w:val="24"/>
          <w:u w:val="none"/>
          <w:lang w:val="sk-SK"/>
        </w:rPr>
        <w:t>V súčanosti sa sachvaľovací proces glukózových senzorov v rámci EÚ riadi procesom:</w:t>
      </w:r>
    </w:p>
    <w:p w14:paraId="4236505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bottom w:val="none" w:color="0A0A0A" w:sz="0" w:space="0"/>
        </w:pBdr>
        <w:spacing w:before="0" w:beforeAutospacing="0" w:after="180" w:afterAutospacing="0"/>
        <w:ind w:left="-360" w:leftChars="0" w:right="0" w:rightChars="0"/>
        <w:rPr>
          <w:rFonts w:hint="default" w:ascii="Arial" w:hAnsi="Arial" w:eastAsia="Arial" w:cs="Arial"/>
          <w:sz w:val="24"/>
          <w:szCs w:val="24"/>
          <w:u w:val="none"/>
          <w:lang w:val="sk-SK"/>
        </w:rPr>
      </w:pPr>
      <w:r>
        <w:rPr>
          <w:rFonts w:hint="default" w:ascii="Arial" w:hAnsi="Arial" w:eastAsia="Arial" w:cs="Arial"/>
          <w:sz w:val="24"/>
          <w:szCs w:val="24"/>
          <w:u w:val="none"/>
          <w:lang w:val="sk-SK"/>
        </w:rPr>
        <w:t xml:space="preserve">1/ Bezpečnostnej certifikácie pre vstup na trh EU (= označenie CE /Conformite Europeenne/). To znamená, že </w:t>
      </w:r>
      <w:r>
        <w:rPr>
          <w:rFonts w:ascii="Arial" w:hAnsi="Arial" w:eastAsia="Arial" w:cs="Arial"/>
          <w:sz w:val="24"/>
          <w:szCs w:val="24"/>
          <w:u w:val="none"/>
        </w:rPr>
        <w:t xml:space="preserve">produkt je v </w:t>
      </w:r>
      <w:r>
        <w:rPr>
          <w:rFonts w:hint="default" w:ascii="Arial" w:hAnsi="Arial" w:eastAsia="Arial" w:cs="Arial"/>
          <w:sz w:val="24"/>
          <w:szCs w:val="24"/>
          <w:u w:val="none"/>
          <w:lang w:val="sk-SK"/>
        </w:rPr>
        <w:t>súlade</w:t>
      </w:r>
      <w:r>
        <w:rPr>
          <w:rFonts w:ascii="Arial" w:hAnsi="Arial" w:eastAsia="Arial" w:cs="Arial"/>
          <w:sz w:val="24"/>
          <w:szCs w:val="24"/>
          <w:u w:val="none"/>
        </w:rPr>
        <w:t xml:space="preserve"> s</w:t>
      </w:r>
      <w:r>
        <w:rPr>
          <w:rFonts w:hint="default" w:ascii="Arial" w:hAnsi="Arial" w:eastAsia="Arial" w:cs="Arial"/>
          <w:sz w:val="24"/>
          <w:szCs w:val="24"/>
          <w:u w:val="none"/>
          <w:lang w:val="sk-SK"/>
        </w:rPr>
        <w:t>o</w:t>
      </w:r>
      <w:r>
        <w:rPr>
          <w:rFonts w:ascii="Arial" w:hAnsi="Arial" w:eastAsia="Arial" w:cs="Arial"/>
          <w:sz w:val="24"/>
          <w:szCs w:val="24"/>
          <w:u w:val="none"/>
        </w:rPr>
        <w:t xml:space="preserve"> v</w:t>
      </w:r>
      <w:r>
        <w:rPr>
          <w:rFonts w:ascii="Arial" w:hAnsi="Arial" w:eastAsia="Arial" w:cs="Arial"/>
          <w:sz w:val="24"/>
          <w:szCs w:val="24"/>
          <w:u w:val="none"/>
          <w:lang w:val="sk-SK"/>
        </w:rPr>
        <w:t>š</w:t>
      </w:r>
      <w:r>
        <w:rPr>
          <w:rFonts w:hint="default" w:ascii="Arial" w:hAnsi="Arial" w:eastAsia="Arial" w:cs="Arial"/>
          <w:sz w:val="24"/>
          <w:szCs w:val="24"/>
          <w:u w:val="none"/>
          <w:lang w:val="sk-SK"/>
        </w:rPr>
        <w:t>etkými</w:t>
      </w:r>
      <w:r>
        <w:rPr>
          <w:rFonts w:ascii="Arial" w:hAnsi="Arial" w:eastAsia="Arial" w:cs="Arial"/>
          <w:sz w:val="24"/>
          <w:szCs w:val="24"/>
          <w:u w:val="none"/>
        </w:rPr>
        <w:t xml:space="preserve"> p</w:t>
      </w:r>
      <w:r>
        <w:rPr>
          <w:rFonts w:hint="default" w:ascii="Arial" w:hAnsi="Arial" w:eastAsia="Arial" w:cs="Arial"/>
          <w:sz w:val="24"/>
          <w:szCs w:val="24"/>
          <w:u w:val="none"/>
          <w:lang w:val="sk-SK"/>
        </w:rPr>
        <w:t>r</w:t>
      </w:r>
      <w:r>
        <w:rPr>
          <w:rFonts w:ascii="Arial" w:hAnsi="Arial" w:eastAsia="Arial" w:cs="Arial"/>
          <w:sz w:val="24"/>
          <w:szCs w:val="24"/>
          <w:u w:val="none"/>
        </w:rPr>
        <w:t>íslušnými sm</w:t>
      </w:r>
      <w:r>
        <w:rPr>
          <w:rFonts w:hint="default" w:ascii="Arial" w:hAnsi="Arial" w:eastAsia="Arial" w:cs="Arial"/>
          <w:sz w:val="24"/>
          <w:szCs w:val="24"/>
          <w:u w:val="none"/>
          <w:lang w:val="sk-SK"/>
        </w:rPr>
        <w:t>e</w:t>
      </w:r>
      <w:r>
        <w:rPr>
          <w:rFonts w:ascii="Arial" w:hAnsi="Arial" w:eastAsia="Arial" w:cs="Arial"/>
          <w:sz w:val="24"/>
          <w:szCs w:val="24"/>
          <w:u w:val="none"/>
        </w:rPr>
        <w:t xml:space="preserve">rnicemi </w:t>
      </w:r>
      <w:r>
        <w:rPr>
          <w:rFonts w:hint="default" w:ascii="Arial" w:hAnsi="Arial" w:eastAsia="Arial" w:cs="Arial"/>
          <w:sz w:val="24"/>
          <w:szCs w:val="24"/>
          <w:u w:val="none"/>
        </w:rPr>
        <w:t>a harmonizovanými normami EU</w:t>
      </w:r>
      <w:r>
        <w:rPr>
          <w:rFonts w:hint="default" w:ascii="Arial" w:hAnsi="Arial" w:eastAsia="Arial" w:cs="Arial"/>
          <w:sz w:val="24"/>
          <w:szCs w:val="24"/>
          <w:u w:val="none"/>
          <w:lang w:val="sk-SK"/>
        </w:rPr>
        <w:t xml:space="preserve">. </w:t>
      </w:r>
    </w:p>
    <w:p w14:paraId="02A7862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bottom w:val="none" w:color="0A0A0A" w:sz="0" w:space="0"/>
        </w:pBdr>
        <w:spacing w:before="0" w:beforeAutospacing="0" w:after="180" w:afterAutospacing="0"/>
        <w:ind w:left="-360" w:leftChars="0" w:right="0" w:rightChars="0"/>
        <w:rPr>
          <w:rFonts w:hint="default" w:ascii="Arial" w:hAnsi="Arial" w:eastAsia="Arial" w:cs="Arial"/>
          <w:sz w:val="24"/>
          <w:szCs w:val="24"/>
          <w:u w:val="none"/>
          <w:lang w:val="sk-SK"/>
        </w:rPr>
      </w:pPr>
      <w:r>
        <w:rPr>
          <w:rFonts w:hint="default" w:ascii="Arial" w:hAnsi="Arial" w:eastAsia="Arial" w:cs="Arial"/>
          <w:sz w:val="24"/>
          <w:szCs w:val="24"/>
          <w:u w:val="none"/>
          <w:lang w:val="sk-SK"/>
        </w:rPr>
        <w:t>2/ Schválenia produktu na úrovni jednotlivých krajín EU (u nás ŠUKL a MzSR) a následnou kategorizáciou zdravotnej pomôcky.</w:t>
      </w:r>
    </w:p>
    <w:p w14:paraId="1A7C6FD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bottom w:val="none" w:color="0A0A0A" w:sz="0" w:space="0"/>
        </w:pBdr>
        <w:spacing w:before="0" w:beforeAutospacing="0" w:after="180" w:afterAutospacing="0"/>
        <w:ind w:left="-360" w:leftChars="0" w:right="0" w:rightChars="0"/>
        <w:rPr>
          <w:rFonts w:hint="default" w:ascii="Arial" w:hAnsi="Arial" w:eastAsia="Arial" w:cs="Arial"/>
          <w:sz w:val="24"/>
          <w:szCs w:val="24"/>
          <w:u w:val="none"/>
          <w:lang w:val="sk-SK"/>
        </w:rPr>
      </w:pPr>
      <w:r>
        <w:rPr>
          <w:rFonts w:hint="default" w:ascii="Arial" w:hAnsi="Arial" w:eastAsia="Arial" w:cs="Arial"/>
          <w:sz w:val="24"/>
          <w:szCs w:val="24"/>
          <w:u w:val="none"/>
          <w:lang w:val="sk-SK"/>
        </w:rPr>
        <w:t>V súčasnosti, pokiaľ je nám známe, neupravuje európska (EU) ani národná legislatíva (SR) klasifikáciu senzorov z hľadiska terapeutického zaradenia, čo bolo predmetom diskusie ohľadom presnosti/spoľahlivostiu senzorov a ich využitia napríklad v nemocničných podmienkach (monitoring na JIS a lôžkových oddeleniach).</w:t>
      </w:r>
    </w:p>
    <w:p w14:paraId="7D85610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bottom w:val="none" w:color="0A0A0A" w:sz="0" w:space="0"/>
        </w:pBdr>
        <w:spacing w:before="0" w:beforeAutospacing="0" w:after="180" w:afterAutospacing="0"/>
        <w:ind w:left="-360" w:leftChars="0" w:right="0" w:rightChars="0"/>
        <w:rPr>
          <w:rFonts w:hint="default" w:ascii="Arial" w:hAnsi="Arial" w:eastAsia="Arial" w:cs="Arial"/>
          <w:sz w:val="24"/>
          <w:szCs w:val="24"/>
          <w:u w:val="none"/>
          <w:lang w:val="sk-SK"/>
        </w:rPr>
      </w:pPr>
    </w:p>
    <w:p w14:paraId="7B88FAA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bottom w:val="none" w:color="0A0A0A" w:sz="0" w:space="0"/>
        </w:pBdr>
        <w:spacing w:before="0" w:beforeAutospacing="0" w:after="180" w:afterAutospacing="0"/>
        <w:ind w:left="-360" w:leftChars="0" w:right="0" w:rightChars="0"/>
        <w:rPr>
          <w:rFonts w:hint="default" w:ascii="Arial" w:hAnsi="Arial" w:eastAsia="Arial" w:cs="Arial"/>
          <w:sz w:val="24"/>
          <w:szCs w:val="24"/>
          <w:u w:val="none"/>
          <w:lang w:val="sk-SK"/>
        </w:rPr>
      </w:pPr>
      <w:r>
        <w:rPr>
          <w:rFonts w:hint="default" w:ascii="Arial" w:hAnsi="Arial" w:eastAsia="Arial" w:cs="Arial"/>
          <w:sz w:val="24"/>
          <w:szCs w:val="24"/>
          <w:u w:val="none"/>
          <w:lang w:val="sk-SK"/>
        </w:rPr>
        <w:t>27.05.2026</w:t>
      </w:r>
    </w:p>
    <w:p w14:paraId="5B6F37B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bottom w:val="none" w:color="0A0A0A" w:sz="0" w:space="0"/>
        </w:pBdr>
        <w:spacing w:before="0" w:beforeAutospacing="0" w:after="180" w:afterAutospacing="0"/>
        <w:ind w:left="-360" w:leftChars="0" w:right="0" w:rightChars="0"/>
        <w:rPr>
          <w:rFonts w:hint="default" w:ascii="Arial" w:hAnsi="Arial" w:eastAsia="Arial" w:cs="Arial"/>
          <w:sz w:val="24"/>
          <w:szCs w:val="24"/>
          <w:u w:val="none"/>
          <w:lang w:val="sk-SK"/>
        </w:rPr>
      </w:pPr>
    </w:p>
    <w:p w14:paraId="2115047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bottom w:val="none" w:color="0A0A0A" w:sz="0" w:space="0"/>
        </w:pBdr>
        <w:spacing w:before="0" w:beforeAutospacing="0" w:after="180" w:afterAutospacing="0"/>
        <w:ind w:left="-360" w:leftChars="0" w:right="0" w:rightChars="0"/>
        <w:rPr>
          <w:rFonts w:hint="default" w:ascii="Arial" w:hAnsi="Arial" w:eastAsia="Arial" w:cs="Arial"/>
          <w:sz w:val="24"/>
          <w:szCs w:val="24"/>
          <w:u w:val="none"/>
          <w:lang w:val="sk-SK"/>
        </w:rPr>
      </w:pPr>
      <w:r>
        <w:rPr>
          <w:rFonts w:hint="default" w:ascii="Arial" w:hAnsi="Arial" w:eastAsia="Arial" w:cs="Arial"/>
          <w:sz w:val="24"/>
          <w:szCs w:val="24"/>
          <w:u w:val="none"/>
          <w:lang w:val="sk-SK"/>
        </w:rPr>
        <w:t>v</w:t>
      </w:r>
      <w:bookmarkStart w:id="0" w:name="_GoBack"/>
      <w:bookmarkEnd w:id="0"/>
      <w:r>
        <w:rPr>
          <w:rFonts w:hint="default" w:ascii="Arial" w:hAnsi="Arial" w:eastAsia="Arial" w:cs="Arial"/>
          <w:sz w:val="24"/>
          <w:szCs w:val="24"/>
          <w:u w:val="none"/>
          <w:lang w:val="sk-SK"/>
        </w:rPr>
        <w:t>ypracovali: R.Plášil, Ľ.Barák</w:t>
      </w:r>
    </w:p>
    <w:p w14:paraId="5C1BC29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bottom w:val="none" w:color="0A0A0A" w:sz="0" w:space="0"/>
        </w:pBdr>
        <w:spacing w:before="0" w:beforeAutospacing="0" w:after="180" w:afterAutospacing="0"/>
        <w:ind w:left="-360" w:leftChars="0" w:right="0" w:rightChars="0"/>
        <w:rPr>
          <w:rFonts w:hint="default" w:ascii="Arial" w:hAnsi="Arial" w:eastAsia="Arial" w:cs="Arial"/>
          <w:sz w:val="24"/>
          <w:szCs w:val="24"/>
          <w:u w:val="none"/>
          <w:lang w:val="sk-SK"/>
        </w:rPr>
      </w:pP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EE"/>
    <w:family w:val="swiss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ptos Display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63BEED"/>
    <w:multiLevelType w:val="multilevel"/>
    <w:tmpl w:val="8763BEE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DDC"/>
    <w:rsid w:val="002C383B"/>
    <w:rsid w:val="00531200"/>
    <w:rsid w:val="006024B2"/>
    <w:rsid w:val="008A196E"/>
    <w:rsid w:val="00C67DDC"/>
    <w:rsid w:val="00D6488E"/>
    <w:rsid w:val="116177E6"/>
    <w:rsid w:val="30310373"/>
    <w:rsid w:val="67E85316"/>
    <w:rsid w:val="74E92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sk-SK" w:eastAsia="en-US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1"/>
    <w:semiHidden/>
    <w:unhideWhenUsed/>
    <w:qFormat/>
    <w:uiPriority w:val="99"/>
    <w:rPr>
      <w:color w:val="0000FF"/>
      <w:u w:val="single"/>
    </w:rPr>
  </w:style>
  <w:style w:type="character" w:styleId="14">
    <w:name w:val="Strong"/>
    <w:basedOn w:val="11"/>
    <w:qFormat/>
    <w:uiPriority w:val="22"/>
    <w:rPr>
      <w:b/>
      <w:bCs/>
    </w:rPr>
  </w:style>
  <w:style w:type="paragraph" w:styleId="15">
    <w:name w:val="Subtitle"/>
    <w:basedOn w:val="1"/>
    <w:next w:val="1"/>
    <w:link w:val="27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6">
    <w:name w:val="Title"/>
    <w:basedOn w:val="1"/>
    <w:next w:val="1"/>
    <w:link w:val="26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Nadpis 1 Char"/>
    <w:basedOn w:val="1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8">
    <w:name w:val="Nadpis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9">
    <w:name w:val="Nadpis 3 Char"/>
    <w:basedOn w:val="11"/>
    <w:link w:val="4"/>
    <w:semiHidden/>
    <w:qFormat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20">
    <w:name w:val="Nadpis 4 Char"/>
    <w:basedOn w:val="11"/>
    <w:link w:val="5"/>
    <w:semiHidden/>
    <w:qFormat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21">
    <w:name w:val="Nadpis 5 Char"/>
    <w:basedOn w:val="11"/>
    <w:link w:val="6"/>
    <w:semiHidden/>
    <w:qFormat/>
    <w:uiPriority w:val="9"/>
    <w:rPr>
      <w:rFonts w:eastAsiaTheme="majorEastAsia" w:cstheme="majorBidi"/>
      <w:color w:val="2F5597" w:themeColor="accent1" w:themeShade="BF"/>
    </w:rPr>
  </w:style>
  <w:style w:type="character" w:customStyle="1" w:styleId="22">
    <w:name w:val="Nadpis 6 Char"/>
    <w:basedOn w:val="11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Nadpis 7 Char"/>
    <w:basedOn w:val="11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Nadpis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Nadpis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6">
    <w:name w:val="Názov Char"/>
    <w:basedOn w:val="11"/>
    <w:link w:val="16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Podtitul Char"/>
    <w:basedOn w:val="11"/>
    <w:link w:val="1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Citácia Char"/>
    <w:basedOn w:val="11"/>
    <w:link w:val="28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3">
    <w:name w:val="Zvýraznená citácia Char"/>
    <w:basedOn w:val="11"/>
    <w:link w:val="32"/>
    <w:qFormat/>
    <w:uiPriority w:val="30"/>
    <w:rPr>
      <w:i/>
      <w:iCs/>
      <w:color w:val="2F5597" w:themeColor="accent1" w:themeShade="BF"/>
    </w:rPr>
  </w:style>
  <w:style w:type="character" w:customStyle="1" w:styleId="34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183</Words>
  <Characters>1061</Characters>
  <Lines>7</Lines>
  <Paragraphs>2</Paragraphs>
  <TotalTime>37</TotalTime>
  <ScaleCrop>false</ScaleCrop>
  <LinksUpToDate>false</LinksUpToDate>
  <CharactersWithSpaces>1235</CharactersWithSpaces>
  <Application>WPS Office_12.1.0.25862_F1E327BC-269C-435d-A152-05C5408002CA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2025-12-20T11:50:00Z</dcterms:created>
  <dc:creator>Radovan Plasil</dc:creator>
  <cp:lastModifiedBy>HP</cp:lastModifiedBy>
  <cp:lastPrinted>2025-12-20T12:03:00Z</cp:lastPrinted>
  <dcterms:modified xsi:type="dcterms:W3CDTF">2026-06-30T13:45:46Z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eyJoZGlkIjoiYjhlNDYyMjk0NzQyMzZhYzJlZTdiMDU1ZWFjZTIzYmUifQ==</vt:lpwstr>
  </property>
  <property fmtid="{D5CDD505-2E9C-101B-9397-08002B2CF9AE}" pid="3" name="KSOProductBuildVer">
    <vt:lpwstr>1033-12.1.0.25862</vt:lpwstr>
  </property>
  <property fmtid="{D5CDD505-2E9C-101B-9397-08002B2CF9AE}" pid="4" name="ICV">
    <vt:lpwstr>D3E93E26B7DD4A4A8D6C492BD00AB4E8_12</vt:lpwstr>
  </property>
</Properties>
</file>